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2D8" w:rsidRDefault="007712D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:rsidR="007712D8" w:rsidRDefault="007712D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>Art is art. Everything else is everything else.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                                 Ad Reinhardt</w:t>
      </w:r>
    </w:p>
    <w:p w:rsidR="007712D8" w:rsidRPr="00BF2E1B" w:rsidRDefault="007712D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0"/>
          <w:szCs w:val="20"/>
          <w:lang w:val="de-DE"/>
        </w:rPr>
      </w:pP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 w:rsidRPr="00BF2E1B">
        <w:rPr>
          <w:rFonts w:ascii="Calibri" w:hAnsi="Calibri" w:cs="Calibri"/>
          <w:lang w:val="de-DE"/>
        </w:rPr>
        <w:t>Apstraktna umetnost</w:t>
      </w:r>
      <w:r>
        <w:rPr>
          <w:rFonts w:ascii="Calibri" w:hAnsi="Calibri" w:cs="Calibri"/>
        </w:rPr>
        <w:t xml:space="preserve"> jedna je od glavnih struja modernog izraza XX veka. 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 w:rsidRPr="00BF2E1B">
        <w:rPr>
          <w:rFonts w:ascii="Calibri" w:hAnsi="Calibri" w:cs="Calibri"/>
        </w:rPr>
        <w:t>Zasnovana na vizuelnoj autonomji</w:t>
      </w:r>
      <w:r>
        <w:rPr>
          <w:rFonts w:ascii="Calibri" w:hAnsi="Calibri" w:cs="Calibri"/>
        </w:rPr>
        <w:t>, individualnom umetničkom stvaralaštvu, mističnom i sublimnom</w:t>
      </w:r>
      <w:r w:rsidR="003A00D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ona se ispoljavala u delima apstraktnog ekspresionizma, lirske apstrakcije i enformela. Iako se poreklo apstrakcije može pratiti od početka XX veka, u posleratnoj podeli sveta na dva ideološka bloka ona je prepoznata kao dominantna predstava visokog modernizma i tipičan model umetnosti "zapadnog bloka".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Apstraktna umetnost kapitalističke Amerike i post-kubističke Zapadne Evrope afirmisala je liberalni humanizam. Za razliku od istočnog modela umetnosti, koji se držao društveno prihvatljivih kolektivnih tema, kompozicijskog fokusa i figuracije, apstraktno </w:t>
      </w:r>
      <w:r w:rsidR="00BF2E1B" w:rsidRPr="00EE4B04">
        <w:rPr>
          <w:rFonts w:ascii="Calibri" w:hAnsi="Calibri" w:cs="Calibri"/>
        </w:rPr>
        <w:t>se</w:t>
      </w:r>
      <w:r w:rsidR="00BF2E1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slikarstvo opredelilo za podsvest, automatski diktat, fluidnu sintaksu i udruženu koncentraciju tačaka</w:t>
      </w:r>
      <w:r w:rsidR="003A00D7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linija i boja.</w:t>
      </w:r>
    </w:p>
    <w:p w:rsidR="007712D8" w:rsidRPr="00D9705B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Umetnici poput D</w:t>
      </w:r>
      <w:r w:rsidR="003A00D7">
        <w:rPr>
          <w:rFonts w:ascii="Calibri" w:hAnsi="Calibri" w:cs="Calibri"/>
        </w:rPr>
        <w:t>ž</w:t>
      </w:r>
      <w:r>
        <w:rPr>
          <w:rFonts w:ascii="Calibri" w:hAnsi="Calibri" w:cs="Calibri"/>
        </w:rPr>
        <w:t>ekson Poloka (Jackson Pollock), Mark Rotka (Mark Rothko) i Vilem de Kunina (Willem de Kooning) paradigmatski su primeri apstrak</w:t>
      </w:r>
      <w:r w:rsidR="003A00D7">
        <w:rPr>
          <w:rFonts w:ascii="Calibri" w:hAnsi="Calibri" w:cs="Calibri"/>
        </w:rPr>
        <w:t>tn</w:t>
      </w:r>
      <w:r>
        <w:rPr>
          <w:rFonts w:ascii="Calibri" w:hAnsi="Calibri" w:cs="Calibri"/>
        </w:rPr>
        <w:t xml:space="preserve">e umetnosti. Težište njihovog stvaralaštva usko je povezano sa idejom slobodnog društva i iracionalnog, "modernog čoveka", koji je prema Arturu Šlezingeru (Arthur M. Schlesinger) bio jedina alternativa totalitarnoj predvidivosti.(1) </w:t>
      </w:r>
      <w:r w:rsidRPr="00D9705B">
        <w:rPr>
          <w:rFonts w:ascii="Calibri" w:hAnsi="Calibri" w:cs="Calibri"/>
        </w:rPr>
        <w:t>Vo</w:t>
      </w:r>
      <w:r w:rsidR="003A00D7">
        <w:rPr>
          <w:rFonts w:ascii="Calibri" w:hAnsi="Calibri" w:cs="Calibri"/>
        </w:rPr>
        <w:t>đ</w:t>
      </w:r>
      <w:r w:rsidRPr="00D9705B">
        <w:rPr>
          <w:rFonts w:ascii="Calibri" w:hAnsi="Calibri" w:cs="Calibri"/>
        </w:rPr>
        <w:t>eni neodre</w:t>
      </w:r>
      <w:r w:rsidR="003A00D7">
        <w:rPr>
          <w:rFonts w:ascii="Calibri" w:hAnsi="Calibri" w:cs="Calibri"/>
        </w:rPr>
        <w:t>đ</w:t>
      </w:r>
      <w:r w:rsidRPr="00D9705B">
        <w:rPr>
          <w:rFonts w:ascii="Calibri" w:hAnsi="Calibri" w:cs="Calibri"/>
        </w:rPr>
        <w:t>enim spoljašnjim i unutrašnjim silama protagonisti apstraktne umetnosti dali su brojne predloge na planu realizacije i razvoja umetničkog dela.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Likovni metod D</w:t>
      </w:r>
      <w:r w:rsidR="003A00D7">
        <w:rPr>
          <w:rFonts w:ascii="Calibri" w:hAnsi="Calibri" w:cs="Calibri"/>
        </w:rPr>
        <w:t>ž</w:t>
      </w:r>
      <w:r>
        <w:rPr>
          <w:rFonts w:ascii="Calibri" w:hAnsi="Calibri" w:cs="Calibri"/>
        </w:rPr>
        <w:t>ekson Poloka, verovatno najupečatljiviji apstraktni postupak, bio je oslobo</w:t>
      </w:r>
      <w:r w:rsidR="003A00D7">
        <w:rPr>
          <w:rFonts w:ascii="Calibri" w:hAnsi="Calibri" w:cs="Calibri"/>
        </w:rPr>
        <w:t>đ</w:t>
      </w:r>
      <w:r>
        <w:rPr>
          <w:rFonts w:ascii="Calibri" w:hAnsi="Calibri" w:cs="Calibri"/>
        </w:rPr>
        <w:t xml:space="preserve">en kontemplativnog procesa estetske odluke i fundamentalno performativan.(2) U jednom od svojih prvih radova </w:t>
      </w:r>
      <w:r>
        <w:rPr>
          <w:rFonts w:ascii="Calibri" w:hAnsi="Calibri" w:cs="Calibri"/>
          <w:i/>
          <w:iCs/>
        </w:rPr>
        <w:t xml:space="preserve">Full Fathom Five </w:t>
      </w:r>
      <w:r>
        <w:rPr>
          <w:rFonts w:ascii="Calibri" w:hAnsi="Calibri" w:cs="Calibri"/>
        </w:rPr>
        <w:t>(1947) izvedenih tehnikom kapanja ("drip") Polok ritmično nabacuje i prska industrijskom bojom nerazvučeno platno koje se nalazi na podu. Dok se gornji slojevi slike sastoje od nalivenih slojeva boje, pogled izbliza otkriva asortiman predmeta ugra</w:t>
      </w:r>
      <w:r w:rsidR="003A00D7">
        <w:rPr>
          <w:rFonts w:ascii="Calibri" w:hAnsi="Calibri" w:cs="Calibri"/>
        </w:rPr>
        <w:t>đ</w:t>
      </w:r>
      <w:r>
        <w:rPr>
          <w:rFonts w:ascii="Calibri" w:hAnsi="Calibri" w:cs="Calibri"/>
        </w:rPr>
        <w:t>enih u sliku poput opušaka, dugmadi i novčića. Ovaj složeni primer likovnog postupka korišćenjem neestetskih predmeta svakodnevne upotrebe evocira metode dadaizma</w:t>
      </w:r>
      <w:r>
        <w:rPr>
          <w:rFonts w:ascii="Calibri" w:hAnsi="Calibri" w:cs="Calibri"/>
          <w:color w:val="004DBB"/>
        </w:rPr>
        <w:t xml:space="preserve"> </w:t>
      </w:r>
      <w:r>
        <w:rPr>
          <w:rFonts w:ascii="Calibri" w:hAnsi="Calibri" w:cs="Calibri"/>
        </w:rPr>
        <w:t>ali i proširuje dotadašnju percepciju umetničke namere, umetničkih tehnika i štafe</w:t>
      </w:r>
      <w:r w:rsidR="003A00D7">
        <w:rPr>
          <w:rFonts w:ascii="Calibri" w:hAnsi="Calibri" w:cs="Calibri"/>
        </w:rPr>
        <w:t>laj</w:t>
      </w:r>
      <w:r>
        <w:rPr>
          <w:rFonts w:ascii="Calibri" w:hAnsi="Calibri" w:cs="Calibri"/>
        </w:rPr>
        <w:t>nog slikarstva uopšte.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685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Slika 1. Jackson Pollock,  </w:t>
      </w:r>
      <w:r>
        <w:rPr>
          <w:rFonts w:ascii="Calibri" w:hAnsi="Calibri" w:cs="Calibri"/>
          <w:i/>
          <w:iCs/>
        </w:rPr>
        <w:t xml:space="preserve">Full Fathom Five </w:t>
      </w:r>
      <w:r>
        <w:rPr>
          <w:rFonts w:ascii="Calibri" w:hAnsi="Calibri" w:cs="Calibri"/>
        </w:rPr>
        <w:t>(1947)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 slikovni format Mark Rotka karakterisitčne su, na </w:t>
      </w:r>
      <w:r w:rsidRPr="000A17A6">
        <w:rPr>
          <w:rFonts w:ascii="Calibri" w:hAnsi="Calibri" w:cs="Calibri"/>
        </w:rPr>
        <w:t xml:space="preserve">primer, </w:t>
      </w:r>
      <w:r>
        <w:rPr>
          <w:rFonts w:ascii="Calibri" w:hAnsi="Calibri" w:cs="Calibri"/>
        </w:rPr>
        <w:t>kvadratne površi mekih ivica koje lebde u vertikalno orijentisanom polju. Prema Dejvidu Hopkinsu (David Hopkins) ovi oblaci boja predstavljali su za Rotka apstraktne označitelje tragičnih ili eteričnih stanja.(3) U Rotkovim apstrakcijama fizičke granice bile su podređene bezličnim kosmičkim imperativima. Takođe, dimenzije njegovih platna bile su proračunate tako da su gledaoci mogli da uporede sopstvenu veličinu u odnosu na obojene mase što je dovodilo do osećaja opuštenosti i stanja bestelesnosti.</w:t>
      </w:r>
      <w:r w:rsidRPr="00BF2E1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Ovaj haptički gest u polju pikturalnog u decenijama koje slede</w:t>
      </w:r>
      <w:r w:rsidR="00697FD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teoretičarka Kler Bišop (Bishop Claire) prepoznaće kao kategoriju "proširene percepcije".(4)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4567512" cy="777711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27" cy="781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12D8" w:rsidRPr="00396C0D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color w:val="000000" w:themeColor="text1"/>
        </w:rPr>
      </w:pPr>
      <w:r w:rsidRPr="00396C0D">
        <w:rPr>
          <w:rFonts w:ascii="Calibri" w:hAnsi="Calibri" w:cs="Calibri"/>
          <w:color w:val="000000" w:themeColor="text1"/>
        </w:rPr>
        <w:t xml:space="preserve">Slika 2. Mark Rothko, </w:t>
      </w:r>
      <w:r w:rsidRPr="00396C0D">
        <w:rPr>
          <w:rFonts w:ascii="Calibri" w:hAnsi="Calibri" w:cs="Calibri"/>
          <w:i/>
          <w:iCs/>
          <w:color w:val="000000" w:themeColor="text1"/>
        </w:rPr>
        <w:t>Untitled</w:t>
      </w:r>
      <w:r w:rsidRPr="00396C0D">
        <w:rPr>
          <w:rFonts w:ascii="Calibri" w:hAnsi="Calibri" w:cs="Calibri"/>
          <w:color w:val="000000" w:themeColor="text1"/>
        </w:rPr>
        <w:t xml:space="preserve"> (1950)</w:t>
      </w:r>
    </w:p>
    <w:p w:rsidR="00140F36" w:rsidRPr="00396C0D" w:rsidRDefault="00464BF9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color w:val="000000" w:themeColor="text1"/>
        </w:rPr>
      </w:pPr>
      <w:r w:rsidRPr="00396C0D">
        <w:rPr>
          <w:rFonts w:ascii="Calibri" w:hAnsi="Calibri" w:cs="Calibri"/>
          <w:color w:val="000000" w:themeColor="text1"/>
        </w:rPr>
        <w:lastRenderedPageBreak/>
        <w:t xml:space="preserve">U intimnom susretu </w:t>
      </w:r>
      <w:r w:rsidR="00357664" w:rsidRPr="00396C0D">
        <w:rPr>
          <w:rFonts w:ascii="Calibri" w:hAnsi="Calibri" w:cs="Calibri"/>
          <w:color w:val="000000" w:themeColor="text1"/>
        </w:rPr>
        <w:t xml:space="preserve">sa </w:t>
      </w:r>
      <w:r w:rsidRPr="00396C0D">
        <w:rPr>
          <w:rFonts w:ascii="Calibri" w:hAnsi="Calibri" w:cs="Calibri"/>
          <w:color w:val="000000" w:themeColor="text1"/>
        </w:rPr>
        <w:t>apstraknim delom, prime</w:t>
      </w:r>
      <w:r w:rsidR="007E0CEA">
        <w:rPr>
          <w:rFonts w:ascii="Calibri" w:hAnsi="Calibri" w:cs="Calibri"/>
          <w:color w:val="000000" w:themeColor="text1"/>
        </w:rPr>
        <w:t>ć</w:t>
      </w:r>
      <w:r w:rsidRPr="00396C0D">
        <w:rPr>
          <w:rFonts w:ascii="Calibri" w:hAnsi="Calibri" w:cs="Calibri"/>
          <w:color w:val="000000" w:themeColor="text1"/>
        </w:rPr>
        <w:t xml:space="preserve">ujemo da ono </w:t>
      </w:r>
      <w:r w:rsidR="00A231D8" w:rsidRPr="00396C0D">
        <w:rPr>
          <w:rFonts w:ascii="Calibri" w:hAnsi="Calibri" w:cs="Calibri"/>
          <w:color w:val="000000" w:themeColor="text1"/>
        </w:rPr>
        <w:t xml:space="preserve">svojim „nerazumljivim sadržajem“ </w:t>
      </w:r>
      <w:r w:rsidRPr="00396C0D">
        <w:rPr>
          <w:rFonts w:ascii="Calibri" w:hAnsi="Calibri" w:cs="Calibri"/>
          <w:color w:val="000000" w:themeColor="text1"/>
        </w:rPr>
        <w:t xml:space="preserve">prvenstveno traži put do naših čula, a ne </w:t>
      </w:r>
      <w:r w:rsidR="00044C96" w:rsidRPr="00396C0D">
        <w:rPr>
          <w:rFonts w:ascii="Calibri" w:hAnsi="Calibri" w:cs="Calibri"/>
          <w:color w:val="000000" w:themeColor="text1"/>
        </w:rPr>
        <w:t>racija</w:t>
      </w:r>
      <w:r w:rsidRPr="00396C0D">
        <w:rPr>
          <w:rFonts w:ascii="Calibri" w:hAnsi="Calibri" w:cs="Calibri"/>
          <w:color w:val="000000" w:themeColor="text1"/>
        </w:rPr>
        <w:t xml:space="preserve">. </w:t>
      </w:r>
      <w:r w:rsidR="00C31163" w:rsidRPr="00396C0D">
        <w:rPr>
          <w:rFonts w:ascii="Calibri" w:hAnsi="Calibri" w:cs="Calibri"/>
          <w:color w:val="000000" w:themeColor="text1"/>
        </w:rPr>
        <w:t>Pro</w:t>
      </w:r>
      <w:r w:rsidR="007E0CEA">
        <w:rPr>
          <w:rFonts w:ascii="Calibri" w:hAnsi="Calibri" w:cs="Calibri"/>
          <w:color w:val="000000" w:themeColor="text1"/>
        </w:rPr>
        <w:t>č</w:t>
      </w:r>
      <w:r w:rsidR="00C31163" w:rsidRPr="00396C0D">
        <w:rPr>
          <w:rFonts w:ascii="Calibri" w:hAnsi="Calibri" w:cs="Calibri"/>
          <w:color w:val="000000" w:themeColor="text1"/>
        </w:rPr>
        <w:t>išćenim duhovn</w:t>
      </w:r>
      <w:r w:rsidR="002843DA" w:rsidRPr="00396C0D">
        <w:rPr>
          <w:rFonts w:ascii="Calibri" w:hAnsi="Calibri" w:cs="Calibri"/>
          <w:color w:val="000000" w:themeColor="text1"/>
        </w:rPr>
        <w:t>o-likovnim</w:t>
      </w:r>
      <w:r w:rsidR="00140F36" w:rsidRPr="00396C0D">
        <w:rPr>
          <w:rFonts w:ascii="Calibri" w:hAnsi="Calibri" w:cs="Calibri"/>
          <w:color w:val="000000" w:themeColor="text1"/>
        </w:rPr>
        <w:t xml:space="preserve"> </w:t>
      </w:r>
      <w:r w:rsidR="00C31163" w:rsidRPr="00396C0D">
        <w:rPr>
          <w:rFonts w:ascii="Calibri" w:hAnsi="Calibri" w:cs="Calibri"/>
          <w:color w:val="000000" w:themeColor="text1"/>
        </w:rPr>
        <w:t xml:space="preserve">sredstvima </w:t>
      </w:r>
      <w:r w:rsidR="002843DA" w:rsidRPr="00396C0D">
        <w:rPr>
          <w:rFonts w:ascii="Calibri" w:hAnsi="Calibri" w:cs="Calibri"/>
          <w:color w:val="000000" w:themeColor="text1"/>
        </w:rPr>
        <w:t xml:space="preserve">kompozicije </w:t>
      </w:r>
      <w:r w:rsidR="00C31163" w:rsidRPr="00396C0D">
        <w:rPr>
          <w:rFonts w:ascii="Calibri" w:hAnsi="Calibri" w:cs="Calibri"/>
          <w:color w:val="000000" w:themeColor="text1"/>
        </w:rPr>
        <w:t>obra</w:t>
      </w:r>
      <w:r w:rsidR="007E0CEA">
        <w:rPr>
          <w:rFonts w:ascii="Calibri" w:hAnsi="Calibri" w:cs="Calibri"/>
          <w:color w:val="000000" w:themeColor="text1"/>
        </w:rPr>
        <w:t>ć</w:t>
      </w:r>
      <w:r w:rsidR="00C31163" w:rsidRPr="00396C0D">
        <w:rPr>
          <w:rFonts w:ascii="Calibri" w:hAnsi="Calibri" w:cs="Calibri"/>
          <w:color w:val="000000" w:themeColor="text1"/>
        </w:rPr>
        <w:t>a se</w:t>
      </w:r>
      <w:r w:rsidRPr="00396C0D">
        <w:rPr>
          <w:rFonts w:ascii="Calibri" w:hAnsi="Calibri" w:cs="Calibri"/>
          <w:color w:val="000000" w:themeColor="text1"/>
        </w:rPr>
        <w:t xml:space="preserve"> direktno i beskompromisno iskreno. U tom smislu možemo shvatiti </w:t>
      </w:r>
      <w:r w:rsidR="00C31163" w:rsidRPr="00396C0D">
        <w:rPr>
          <w:rFonts w:ascii="Calibri" w:hAnsi="Calibri" w:cs="Calibri"/>
          <w:color w:val="000000" w:themeColor="text1"/>
        </w:rPr>
        <w:t>z</w:t>
      </w:r>
      <w:r w:rsidRPr="00396C0D">
        <w:rPr>
          <w:rFonts w:ascii="Calibri" w:hAnsi="Calibri" w:cs="Calibri"/>
          <w:color w:val="000000" w:themeColor="text1"/>
        </w:rPr>
        <w:t xml:space="preserve">načaj pokušaja </w:t>
      </w:r>
      <w:r w:rsidR="00543921" w:rsidRPr="00396C0D">
        <w:rPr>
          <w:rFonts w:ascii="Calibri" w:hAnsi="Calibri" w:cs="Calibri"/>
          <w:color w:val="000000" w:themeColor="text1"/>
        </w:rPr>
        <w:t xml:space="preserve">Teo van Dusberha </w:t>
      </w:r>
      <w:r w:rsidR="00E64798" w:rsidRPr="00396C0D">
        <w:rPr>
          <w:rFonts w:ascii="Calibri" w:hAnsi="Calibri" w:cs="Calibri"/>
          <w:color w:val="000000" w:themeColor="text1"/>
        </w:rPr>
        <w:t>(</w:t>
      </w:r>
      <w:r w:rsidRPr="00396C0D">
        <w:rPr>
          <w:rFonts w:ascii="Calibri" w:hAnsi="Calibri" w:cs="Calibri"/>
          <w:color w:val="000000" w:themeColor="text1"/>
        </w:rPr>
        <w:t>Theo Van Doesburg</w:t>
      </w:r>
      <w:r w:rsidR="00E64798" w:rsidRPr="00396C0D">
        <w:rPr>
          <w:rFonts w:ascii="Calibri" w:hAnsi="Calibri" w:cs="Calibri"/>
          <w:color w:val="000000" w:themeColor="text1"/>
        </w:rPr>
        <w:t>)</w:t>
      </w:r>
      <w:r w:rsidRPr="00396C0D">
        <w:rPr>
          <w:rFonts w:ascii="Calibri" w:hAnsi="Calibri" w:cs="Calibri"/>
          <w:color w:val="000000" w:themeColor="text1"/>
        </w:rPr>
        <w:t xml:space="preserve"> da </w:t>
      </w:r>
      <w:r w:rsidR="002843DA" w:rsidRPr="00396C0D">
        <w:rPr>
          <w:rFonts w:ascii="Calibri" w:hAnsi="Calibri" w:cs="Calibri"/>
          <w:color w:val="000000" w:themeColor="text1"/>
        </w:rPr>
        <w:t>ovom vidu umetnosti</w:t>
      </w:r>
      <w:r w:rsidRPr="00396C0D">
        <w:rPr>
          <w:rFonts w:ascii="Calibri" w:hAnsi="Calibri" w:cs="Calibri"/>
          <w:color w:val="000000" w:themeColor="text1"/>
        </w:rPr>
        <w:t xml:space="preserve"> preinači ime u „konkretna umetnost“. Nasuprot </w:t>
      </w:r>
      <w:r w:rsidR="002843DA" w:rsidRPr="00396C0D">
        <w:rPr>
          <w:rFonts w:ascii="Calibri" w:hAnsi="Calibri" w:cs="Calibri"/>
          <w:color w:val="000000" w:themeColor="text1"/>
        </w:rPr>
        <w:t>figuraciji</w:t>
      </w:r>
      <w:r w:rsidRPr="00396C0D">
        <w:rPr>
          <w:rFonts w:ascii="Calibri" w:hAnsi="Calibri" w:cs="Calibri"/>
          <w:color w:val="000000" w:themeColor="text1"/>
        </w:rPr>
        <w:t xml:space="preserve"> koja predstavlja samo privid realnosti</w:t>
      </w:r>
      <w:r w:rsidR="00357664" w:rsidRPr="00396C0D">
        <w:rPr>
          <w:rFonts w:ascii="Calibri" w:hAnsi="Calibri" w:cs="Calibri"/>
          <w:color w:val="000000" w:themeColor="text1"/>
        </w:rPr>
        <w:t>, varku i izmišljotinu,</w:t>
      </w:r>
      <w:r w:rsidRPr="00396C0D">
        <w:rPr>
          <w:rFonts w:ascii="Calibri" w:hAnsi="Calibri" w:cs="Calibri"/>
          <w:color w:val="000000" w:themeColor="text1"/>
        </w:rPr>
        <w:t xml:space="preserve"> „konkretna umetnost“ verodostojno prenosi poredak</w:t>
      </w:r>
      <w:r w:rsidR="00357664" w:rsidRPr="00396C0D">
        <w:rPr>
          <w:rFonts w:ascii="Calibri" w:hAnsi="Calibri" w:cs="Calibri"/>
          <w:color w:val="000000" w:themeColor="text1"/>
        </w:rPr>
        <w:t xml:space="preserve"> unutarnjeg univerzuma, konkretizuje</w:t>
      </w:r>
      <w:r w:rsidRPr="00396C0D">
        <w:rPr>
          <w:rFonts w:ascii="Calibri" w:hAnsi="Calibri" w:cs="Calibri"/>
          <w:color w:val="000000" w:themeColor="text1"/>
        </w:rPr>
        <w:t xml:space="preserve"> intimno proživljena stanja</w:t>
      </w:r>
      <w:r w:rsidR="004D1F09" w:rsidRPr="00396C0D">
        <w:rPr>
          <w:rFonts w:ascii="Calibri" w:hAnsi="Calibri" w:cs="Calibri"/>
          <w:color w:val="000000" w:themeColor="text1"/>
        </w:rPr>
        <w:t xml:space="preserve"> i</w:t>
      </w:r>
      <w:r w:rsidRPr="00396C0D">
        <w:rPr>
          <w:rFonts w:ascii="Calibri" w:hAnsi="Calibri" w:cs="Calibri"/>
          <w:color w:val="000000" w:themeColor="text1"/>
        </w:rPr>
        <w:t xml:space="preserve"> </w:t>
      </w:r>
      <w:r w:rsidR="002843DA" w:rsidRPr="00396C0D">
        <w:rPr>
          <w:rFonts w:ascii="Calibri" w:hAnsi="Calibri" w:cs="Calibri"/>
          <w:color w:val="000000" w:themeColor="text1"/>
        </w:rPr>
        <w:t xml:space="preserve">bogatstva duhovnih </w:t>
      </w:r>
      <w:r w:rsidRPr="00396C0D">
        <w:rPr>
          <w:rFonts w:ascii="Calibri" w:hAnsi="Calibri" w:cs="Calibri"/>
          <w:color w:val="000000" w:themeColor="text1"/>
        </w:rPr>
        <w:t>pejzaž</w:t>
      </w:r>
      <w:r w:rsidR="002843DA" w:rsidRPr="00396C0D">
        <w:rPr>
          <w:rFonts w:ascii="Calibri" w:hAnsi="Calibri" w:cs="Calibri"/>
          <w:color w:val="000000" w:themeColor="text1"/>
        </w:rPr>
        <w:t>a</w:t>
      </w:r>
      <w:r w:rsidRPr="00396C0D">
        <w:rPr>
          <w:rFonts w:ascii="Calibri" w:hAnsi="Calibri" w:cs="Calibri"/>
          <w:color w:val="000000" w:themeColor="text1"/>
        </w:rPr>
        <w:t xml:space="preserve"> samog umetnika</w:t>
      </w:r>
      <w:r w:rsidR="00357664" w:rsidRPr="00396C0D">
        <w:rPr>
          <w:rFonts w:ascii="Calibri" w:hAnsi="Calibri" w:cs="Calibri"/>
          <w:color w:val="000000" w:themeColor="text1"/>
        </w:rPr>
        <w:t>.</w:t>
      </w:r>
      <w:r w:rsidR="00ED02F6" w:rsidRPr="00396C0D">
        <w:rPr>
          <w:rFonts w:ascii="Calibri" w:hAnsi="Calibri" w:cs="Calibri"/>
          <w:color w:val="000000" w:themeColor="text1"/>
        </w:rPr>
        <w:t>(5)</w:t>
      </w:r>
      <w:r w:rsidR="00357664" w:rsidRPr="00396C0D">
        <w:rPr>
          <w:rFonts w:ascii="Calibri" w:hAnsi="Calibri" w:cs="Calibri"/>
          <w:color w:val="000000" w:themeColor="text1"/>
        </w:rPr>
        <w:t xml:space="preserve"> </w:t>
      </w:r>
      <w:r w:rsidRPr="00396C0D">
        <w:rPr>
          <w:rFonts w:ascii="Calibri" w:hAnsi="Calibri" w:cs="Calibri"/>
          <w:color w:val="000000" w:themeColor="text1"/>
        </w:rPr>
        <w:t xml:space="preserve">  </w:t>
      </w:r>
    </w:p>
    <w:p w:rsidR="002D0281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Danas kada se apstraktna umetnost smatra "dovršenim i istrošenim konceptom modernosti"(</w:t>
      </w:r>
      <w:r w:rsidR="00ED02F6">
        <w:rPr>
          <w:rFonts w:ascii="Calibri" w:hAnsi="Calibri" w:cs="Calibri"/>
        </w:rPr>
        <w:t>6</w:t>
      </w:r>
      <w:r>
        <w:rPr>
          <w:rFonts w:ascii="Calibri" w:hAnsi="Calibri" w:cs="Calibri"/>
        </w:rPr>
        <w:t>) trebalo bi istaći zasluge koje je imala u oslobođenju umetničkog ponašanja i prošir</w:t>
      </w:r>
      <w:r w:rsidR="003A1906">
        <w:rPr>
          <w:rFonts w:ascii="Calibri" w:hAnsi="Calibri" w:cs="Calibri"/>
        </w:rPr>
        <w:t>enju poimanja umetnosti uopšte.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 xml:space="preserve">                                                                                                                                              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1 Arthur Schlesinger: </w:t>
      </w:r>
      <w:r>
        <w:rPr>
          <w:rFonts w:ascii="Calibri" w:hAnsi="Calibri" w:cs="Calibri"/>
          <w:i/>
          <w:iCs/>
          <w:sz w:val="18"/>
          <w:szCs w:val="18"/>
        </w:rPr>
        <w:t>The Vital Center</w:t>
      </w:r>
      <w:r>
        <w:rPr>
          <w:rFonts w:ascii="Calibri" w:hAnsi="Calibri" w:cs="Calibri"/>
          <w:sz w:val="18"/>
          <w:szCs w:val="18"/>
        </w:rPr>
        <w:t>, Boston, 1962, p.57.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2 Alan Kaprou (Allan Kaprow) je 1956-te godine objavio esej "Zaostavština Dzeksona Poloka" (The Legacy of Jackson Pollock) u kojem govori o proširivanju umetnosti u oblast ljudskog iskustva sa naglaskom na subjektivnim i čulnim doživljajem. Polokovo akciono slikarstvo anticipiraće umetnost dešavanja (</w:t>
      </w:r>
      <w:r>
        <w:rPr>
          <w:rFonts w:ascii="Calibri" w:hAnsi="Calibri" w:cs="Calibri"/>
          <w:i/>
          <w:iCs/>
          <w:sz w:val="18"/>
          <w:szCs w:val="18"/>
        </w:rPr>
        <w:t>happenings</w:t>
      </w:r>
      <w:r>
        <w:rPr>
          <w:rFonts w:ascii="Calibri" w:hAnsi="Calibri" w:cs="Calibri"/>
          <w:sz w:val="18"/>
          <w:szCs w:val="18"/>
        </w:rPr>
        <w:t xml:space="preserve">). 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Allan Kaprow: "The Legacy of Jackson Pollock" u  </w:t>
      </w:r>
      <w:r>
        <w:rPr>
          <w:rFonts w:ascii="Calibri" w:hAnsi="Calibri" w:cs="Calibri"/>
          <w:i/>
          <w:iCs/>
          <w:sz w:val="18"/>
          <w:szCs w:val="18"/>
        </w:rPr>
        <w:t>Essays on the Blurring of Art and Life</w:t>
      </w:r>
      <w:r>
        <w:rPr>
          <w:rFonts w:ascii="Calibri" w:hAnsi="Calibri" w:cs="Calibri"/>
          <w:sz w:val="18"/>
          <w:szCs w:val="18"/>
        </w:rPr>
        <w:t>, Berkeley, 1993.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3 David Hopkins: </w:t>
      </w:r>
      <w:r>
        <w:rPr>
          <w:rFonts w:ascii="Calibri" w:hAnsi="Calibri" w:cs="Calibri"/>
          <w:i/>
          <w:iCs/>
          <w:sz w:val="18"/>
          <w:szCs w:val="18"/>
        </w:rPr>
        <w:t>After Modern Art 1945-2000</w:t>
      </w:r>
      <w:r>
        <w:rPr>
          <w:rFonts w:ascii="Calibri" w:hAnsi="Calibri" w:cs="Calibri"/>
          <w:sz w:val="18"/>
          <w:szCs w:val="18"/>
        </w:rPr>
        <w:t>, Oxford, 2000, p.23.</w:t>
      </w:r>
    </w:p>
    <w:p w:rsidR="007712D8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4 Claire Bishop</w:t>
      </w:r>
      <w:r>
        <w:rPr>
          <w:rFonts w:ascii="Calibri" w:hAnsi="Calibri" w:cs="Calibri"/>
          <w:i/>
          <w:iCs/>
          <w:sz w:val="18"/>
          <w:szCs w:val="18"/>
        </w:rPr>
        <w:t>: Installation Art: a Critical History</w:t>
      </w:r>
      <w:r>
        <w:rPr>
          <w:rFonts w:ascii="Calibri" w:hAnsi="Calibri" w:cs="Calibri"/>
          <w:sz w:val="18"/>
          <w:szCs w:val="18"/>
        </w:rPr>
        <w:t>, New York, 2005, p.51.</w:t>
      </w:r>
    </w:p>
    <w:p w:rsidR="00ED02F6" w:rsidRPr="00396C0D" w:rsidRDefault="00ED02F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color w:val="000000" w:themeColor="text1"/>
          <w:sz w:val="18"/>
          <w:szCs w:val="18"/>
        </w:rPr>
      </w:pPr>
      <w:r w:rsidRPr="00396C0D">
        <w:rPr>
          <w:rFonts w:ascii="Calibri" w:hAnsi="Calibri" w:cs="Calibri"/>
          <w:color w:val="000000" w:themeColor="text1"/>
          <w:sz w:val="18"/>
          <w:szCs w:val="18"/>
        </w:rPr>
        <w:t xml:space="preserve">5 Michel Seuphor: </w:t>
      </w:r>
      <w:r w:rsidRPr="00396C0D">
        <w:rPr>
          <w:rFonts w:ascii="Calibri" w:hAnsi="Calibri" w:cs="Calibri"/>
          <w:i/>
          <w:iCs/>
          <w:color w:val="000000" w:themeColor="text1"/>
          <w:sz w:val="18"/>
          <w:szCs w:val="18"/>
        </w:rPr>
        <w:t>Apstraktna umjetnost</w:t>
      </w:r>
      <w:r w:rsidRPr="00396C0D">
        <w:rPr>
          <w:rFonts w:ascii="Calibri" w:hAnsi="Calibri" w:cs="Calibri"/>
          <w:color w:val="000000" w:themeColor="text1"/>
          <w:sz w:val="18"/>
          <w:szCs w:val="18"/>
        </w:rPr>
        <w:t>, Zagreb, 1959. pp.9-23</w:t>
      </w:r>
      <w:r w:rsidR="00396C0D">
        <w:rPr>
          <w:rFonts w:ascii="Calibri" w:hAnsi="Calibri" w:cs="Calibri"/>
          <w:color w:val="000000" w:themeColor="text1"/>
          <w:sz w:val="18"/>
          <w:szCs w:val="18"/>
        </w:rPr>
        <w:t>.</w:t>
      </w:r>
    </w:p>
    <w:p w:rsidR="007712D8" w:rsidRDefault="00ED02F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6</w:t>
      </w:r>
      <w:r w:rsidR="00C61C4D">
        <w:rPr>
          <w:rFonts w:ascii="Calibri" w:hAnsi="Calibri" w:cs="Calibri"/>
          <w:sz w:val="18"/>
          <w:szCs w:val="18"/>
        </w:rPr>
        <w:t xml:space="preserve"> Miško Šuvaković: "Kontradikcije slikarskog egzistencijalizma. Krize hegemonija modernizma" u </w:t>
      </w:r>
      <w:r w:rsidR="00C61C4D">
        <w:rPr>
          <w:rFonts w:ascii="Calibri" w:hAnsi="Calibri" w:cs="Calibri"/>
          <w:i/>
          <w:iCs/>
          <w:sz w:val="18"/>
          <w:szCs w:val="18"/>
        </w:rPr>
        <w:t>Trijumf savremene umetnosti Mapiranja diskontinuiteta, opsesija, uživanja, posedovanja, fantazija i subverzija unutar materijalnih praksi u Srbiji tokom dvadesetog veka</w:t>
      </w:r>
      <w:r w:rsidR="00C61C4D">
        <w:rPr>
          <w:rFonts w:ascii="Calibri" w:hAnsi="Calibri" w:cs="Calibri"/>
          <w:sz w:val="18"/>
          <w:szCs w:val="18"/>
        </w:rPr>
        <w:t>, Novi Sad, 2010, p.97.</w:t>
      </w:r>
    </w:p>
    <w:p w:rsidR="007712D8" w:rsidRDefault="007712D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</w:p>
    <w:p w:rsidR="00C61C4D" w:rsidRPr="00BF2E1B" w:rsidRDefault="00C61C4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18"/>
          <w:szCs w:val="18"/>
        </w:rPr>
      </w:pPr>
    </w:p>
    <w:sectPr w:rsidR="00C61C4D" w:rsidRPr="00BF2E1B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D3DEB"/>
    <w:multiLevelType w:val="hybridMultilevel"/>
    <w:tmpl w:val="FCF866B8"/>
    <w:lvl w:ilvl="0" w:tplc="C4429F90">
      <w:start w:val="198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06"/>
    <w:rsid w:val="00030E0D"/>
    <w:rsid w:val="00044C96"/>
    <w:rsid w:val="000A17A6"/>
    <w:rsid w:val="00140F36"/>
    <w:rsid w:val="0016514B"/>
    <w:rsid w:val="00276676"/>
    <w:rsid w:val="002843DA"/>
    <w:rsid w:val="002D0281"/>
    <w:rsid w:val="00357664"/>
    <w:rsid w:val="00396C0D"/>
    <w:rsid w:val="003A00D7"/>
    <w:rsid w:val="003A1906"/>
    <w:rsid w:val="00422775"/>
    <w:rsid w:val="00464BF9"/>
    <w:rsid w:val="004D1F09"/>
    <w:rsid w:val="00543921"/>
    <w:rsid w:val="00551756"/>
    <w:rsid w:val="00605A9A"/>
    <w:rsid w:val="00635F32"/>
    <w:rsid w:val="00697FD6"/>
    <w:rsid w:val="00755838"/>
    <w:rsid w:val="007712D8"/>
    <w:rsid w:val="007C503A"/>
    <w:rsid w:val="007E0CEA"/>
    <w:rsid w:val="00806652"/>
    <w:rsid w:val="00924FCA"/>
    <w:rsid w:val="00981BC4"/>
    <w:rsid w:val="009C7729"/>
    <w:rsid w:val="00A231D8"/>
    <w:rsid w:val="00A67B41"/>
    <w:rsid w:val="00AB291D"/>
    <w:rsid w:val="00B254C2"/>
    <w:rsid w:val="00B33E00"/>
    <w:rsid w:val="00BF1AD7"/>
    <w:rsid w:val="00BF2E1B"/>
    <w:rsid w:val="00C31163"/>
    <w:rsid w:val="00C61C4D"/>
    <w:rsid w:val="00CE50F4"/>
    <w:rsid w:val="00CF2DA8"/>
    <w:rsid w:val="00D9705B"/>
    <w:rsid w:val="00DA1393"/>
    <w:rsid w:val="00E64798"/>
    <w:rsid w:val="00ED02F6"/>
    <w:rsid w:val="00EE4B04"/>
    <w:rsid w:val="00F1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F59587"/>
  <w14:defaultImageDpi w14:val="0"/>
  <w15:docId w15:val="{08D935AD-12B5-4F12-829D-8FAD41A7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0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687</Words>
  <Characters>4330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</dc:creator>
  <cp:keywords/>
  <dc:description/>
  <cp:lastModifiedBy>Microsoft Office User</cp:lastModifiedBy>
  <cp:revision>5</cp:revision>
  <dcterms:created xsi:type="dcterms:W3CDTF">2021-06-04T13:25:00Z</dcterms:created>
  <dcterms:modified xsi:type="dcterms:W3CDTF">2021-06-04T13:27:00Z</dcterms:modified>
</cp:coreProperties>
</file>